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C2" w:rsidRDefault="007756C2" w:rsidP="007756C2">
      <w:pPr>
        <w:jc w:val="right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Приложение № 2 </w:t>
      </w:r>
    </w:p>
    <w:p w:rsidR="007756C2" w:rsidRDefault="007756C2" w:rsidP="007756C2">
      <w:pPr>
        <w:ind w:firstLine="426"/>
        <w:jc w:val="right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к Документации о закупке</w:t>
      </w:r>
    </w:p>
    <w:p w:rsidR="007756C2" w:rsidRDefault="007756C2" w:rsidP="007756C2">
      <w:pPr>
        <w:ind w:firstLine="426"/>
        <w:jc w:val="right"/>
        <w:rPr>
          <w:rFonts w:ascii="Proxima Nova ExCn Rg" w:hAnsi="Proxima Nova ExCn Rg"/>
          <w:sz w:val="28"/>
          <w:szCs w:val="28"/>
        </w:rPr>
      </w:pPr>
    </w:p>
    <w:p w:rsidR="007756C2" w:rsidRDefault="007756C2" w:rsidP="007756C2">
      <w:pPr>
        <w:rPr>
          <w:rFonts w:ascii="Proxima Nova ExCn Rg" w:hAnsi="Proxima Nova ExCn Rg"/>
          <w:sz w:val="28"/>
          <w:szCs w:val="28"/>
        </w:rPr>
      </w:pPr>
    </w:p>
    <w:p w:rsidR="007756C2" w:rsidRPr="0044687B" w:rsidRDefault="007756C2" w:rsidP="007756C2">
      <w:pPr>
        <w:jc w:val="center"/>
        <w:rPr>
          <w:b/>
        </w:rPr>
      </w:pPr>
      <w:r w:rsidRPr="0044687B">
        <w:rPr>
          <w:b/>
        </w:rPr>
        <w:t>ТЕХНИЧЕСКОЕ ЗАДАНИЕ</w:t>
      </w:r>
    </w:p>
    <w:p w:rsidR="007756C2" w:rsidRDefault="007756C2" w:rsidP="00BA1C5F">
      <w:pPr>
        <w:pStyle w:val="af4"/>
        <w:jc w:val="center"/>
      </w:pPr>
      <w:r w:rsidRPr="0044687B">
        <w:t xml:space="preserve">На разработку </w:t>
      </w:r>
      <w:r>
        <w:t>рабочей документации</w:t>
      </w:r>
      <w:r w:rsidRPr="0044687B">
        <w:t xml:space="preserve"> «Размещение участка </w:t>
      </w:r>
      <w:r>
        <w:t xml:space="preserve">контрольной </w:t>
      </w:r>
      <w:r w:rsidRPr="0044687B">
        <w:t xml:space="preserve">сборки антенно-фидерных устройств и радиопрозрачных укрытий (РПУ) во внутреннем дворе между корпусами А и Б» </w:t>
      </w:r>
      <w:r>
        <w:t>по адресу: г. Москва</w:t>
      </w:r>
      <w:r w:rsidRPr="0044687B">
        <w:t>, 1-й Дорожный проезд,</w:t>
      </w:r>
      <w:r>
        <w:t xml:space="preserve"> </w:t>
      </w:r>
      <w:r w:rsidRPr="0044687B">
        <w:t>д</w:t>
      </w:r>
      <w:r>
        <w:t xml:space="preserve">. </w:t>
      </w:r>
      <w:r w:rsidRPr="0044687B">
        <w:t>8.</w:t>
      </w:r>
    </w:p>
    <w:p w:rsidR="00BA1C5F" w:rsidRPr="00BA1C5F" w:rsidRDefault="00BA1C5F" w:rsidP="00BA1C5F">
      <w:pPr>
        <w:pStyle w:val="af4"/>
        <w:jc w:val="center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5528"/>
      </w:tblGrid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pPr>
              <w:rPr>
                <w:b/>
              </w:rPr>
            </w:pPr>
          </w:p>
        </w:tc>
        <w:tc>
          <w:tcPr>
            <w:tcW w:w="3827" w:type="dxa"/>
          </w:tcPr>
          <w:p w:rsidR="007756C2" w:rsidRPr="0044687B" w:rsidRDefault="007756C2" w:rsidP="006F3AE4">
            <w:pPr>
              <w:rPr>
                <w:b/>
              </w:rPr>
            </w:pPr>
            <w:r w:rsidRPr="0044687B">
              <w:rPr>
                <w:b/>
              </w:rPr>
              <w:t xml:space="preserve">Перечень основных </w:t>
            </w:r>
          </w:p>
          <w:p w:rsidR="007756C2" w:rsidRPr="0044687B" w:rsidRDefault="007756C2" w:rsidP="006F3AE4">
            <w:pPr>
              <w:rPr>
                <w:b/>
              </w:rPr>
            </w:pPr>
            <w:r w:rsidRPr="0044687B">
              <w:rPr>
                <w:b/>
              </w:rPr>
              <w:t>требований</w:t>
            </w:r>
          </w:p>
        </w:tc>
        <w:tc>
          <w:tcPr>
            <w:tcW w:w="5528" w:type="dxa"/>
          </w:tcPr>
          <w:p w:rsidR="007756C2" w:rsidRPr="0044687B" w:rsidRDefault="007756C2" w:rsidP="006F3AE4">
            <w:pPr>
              <w:rPr>
                <w:b/>
              </w:rPr>
            </w:pPr>
            <w:r w:rsidRPr="0044687B">
              <w:rPr>
                <w:b/>
              </w:rPr>
              <w:t xml:space="preserve"> Содержание требований</w:t>
            </w:r>
          </w:p>
        </w:tc>
      </w:tr>
      <w:tr w:rsidR="007756C2" w:rsidRPr="0044687B" w:rsidTr="00BA1C5F">
        <w:trPr>
          <w:trHeight w:val="1196"/>
        </w:trPr>
        <w:tc>
          <w:tcPr>
            <w:tcW w:w="709" w:type="dxa"/>
          </w:tcPr>
          <w:p w:rsidR="007756C2" w:rsidRPr="0044687B" w:rsidRDefault="007756C2" w:rsidP="006F3AE4">
            <w:r w:rsidRPr="0044687B">
              <w:t>1.1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Наименование Объекта</w:t>
            </w:r>
          </w:p>
        </w:tc>
        <w:tc>
          <w:tcPr>
            <w:tcW w:w="5528" w:type="dxa"/>
          </w:tcPr>
          <w:p w:rsidR="007756C2" w:rsidRPr="0044687B" w:rsidRDefault="007756C2" w:rsidP="006F3AE4">
            <w:pPr>
              <w:pStyle w:val="af4"/>
            </w:pPr>
            <w:r w:rsidRPr="0044687B">
              <w:t>Техническое перевооружение производства малогабаритных адаптивных антенных систем для спутниковой системы связи на АО «Научно-производственный центр «Вигстар», г.</w:t>
            </w:r>
            <w:r w:rsidR="001A5B3F">
              <w:t xml:space="preserve"> </w:t>
            </w:r>
            <w:r w:rsidRPr="0044687B">
              <w:t>Москва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1.2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Заказчик</w:t>
            </w:r>
          </w:p>
        </w:tc>
        <w:tc>
          <w:tcPr>
            <w:tcW w:w="5528" w:type="dxa"/>
          </w:tcPr>
          <w:p w:rsidR="007756C2" w:rsidRPr="0044687B" w:rsidRDefault="007756C2" w:rsidP="006F3AE4">
            <w:r w:rsidRPr="0044687B">
              <w:t>АО НПЦ «ВИГСТАР»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1.3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Вид строительства</w:t>
            </w:r>
          </w:p>
        </w:tc>
        <w:tc>
          <w:tcPr>
            <w:tcW w:w="5528" w:type="dxa"/>
          </w:tcPr>
          <w:p w:rsidR="007756C2" w:rsidRPr="0044687B" w:rsidRDefault="007756C2" w:rsidP="006F3AE4">
            <w:r w:rsidRPr="0044687B">
              <w:t>Техническое перевооружение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1.4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Сведения об участке и планировочных ограничениях. Особые геологические и гидрогеологические условия</w:t>
            </w:r>
          </w:p>
        </w:tc>
        <w:tc>
          <w:tcPr>
            <w:tcW w:w="5528" w:type="dxa"/>
          </w:tcPr>
          <w:p w:rsidR="007756C2" w:rsidRPr="0044687B" w:rsidRDefault="007756C2" w:rsidP="006F3AE4">
            <w:r w:rsidRPr="0044687B">
              <w:t>Внутренний двор между</w:t>
            </w:r>
            <w:r w:rsidR="001A5B3F">
              <w:t xml:space="preserve"> 8-ми этажным корпусом (Блок Б)</w:t>
            </w:r>
            <w:r w:rsidRPr="0044687B">
              <w:t xml:space="preserve"> и 3-х этажным корпусом</w:t>
            </w:r>
            <w:r w:rsidR="001A5B3F">
              <w:t xml:space="preserve"> (Блок А) </w:t>
            </w:r>
            <w:r w:rsidRPr="0044687B">
              <w:t>ограниченный с одной стороны 2-х этаж. вставкой, с другой 2-х этажным надземным переходом. Размеры двора 18,0</w:t>
            </w:r>
            <w:r w:rsidR="001A5B3F">
              <w:t xml:space="preserve"> </w:t>
            </w:r>
            <w:r w:rsidRPr="0044687B">
              <w:t>х</w:t>
            </w:r>
            <w:r w:rsidR="001A5B3F">
              <w:t xml:space="preserve"> </w:t>
            </w:r>
            <w:r w:rsidRPr="0044687B">
              <w:t xml:space="preserve">30.0 м 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1.5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Выделение этапов строительства</w:t>
            </w:r>
          </w:p>
        </w:tc>
        <w:tc>
          <w:tcPr>
            <w:tcW w:w="5528" w:type="dxa"/>
          </w:tcPr>
          <w:p w:rsidR="007756C2" w:rsidRPr="0044687B" w:rsidRDefault="007756C2" w:rsidP="006F3AE4"/>
          <w:p w:rsidR="007756C2" w:rsidRPr="0044687B" w:rsidRDefault="007756C2" w:rsidP="006F3AE4">
            <w:r w:rsidRPr="0044687B">
              <w:t>В один этап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1.6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Вид документации</w:t>
            </w:r>
          </w:p>
        </w:tc>
        <w:tc>
          <w:tcPr>
            <w:tcW w:w="5528" w:type="dxa"/>
          </w:tcPr>
          <w:p w:rsidR="007756C2" w:rsidRPr="0044687B" w:rsidRDefault="007756C2" w:rsidP="006F3AE4">
            <w:r w:rsidRPr="0044687B">
              <w:t>Рабочая документация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1.7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Источник финансирования строительства</w:t>
            </w:r>
          </w:p>
        </w:tc>
        <w:tc>
          <w:tcPr>
            <w:tcW w:w="5528" w:type="dxa"/>
          </w:tcPr>
          <w:p w:rsidR="007756C2" w:rsidRPr="0044687B" w:rsidRDefault="007756C2" w:rsidP="006F3AE4">
            <w:r w:rsidRPr="0044687B">
              <w:t>Собственные средства</w:t>
            </w:r>
          </w:p>
          <w:p w:rsidR="007756C2" w:rsidRPr="0044687B" w:rsidRDefault="007756C2" w:rsidP="006F3AE4"/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1.8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Сроки начала и окончания проектирования</w:t>
            </w:r>
          </w:p>
        </w:tc>
        <w:tc>
          <w:tcPr>
            <w:tcW w:w="5528" w:type="dxa"/>
          </w:tcPr>
          <w:p w:rsidR="00BA5579" w:rsidRPr="00D85E14" w:rsidRDefault="00BA5579" w:rsidP="00BA5579">
            <w:r w:rsidRPr="00D85E14">
              <w:t>Срок начала выполнения работ – в течение 5 (пяти) календарных дней с даты заключения ДОГОВОРА.</w:t>
            </w:r>
          </w:p>
          <w:p w:rsidR="007756C2" w:rsidRPr="0044687B" w:rsidRDefault="00BA5579" w:rsidP="00BA5579">
            <w:r w:rsidRPr="00D85E14">
              <w:t xml:space="preserve">Срок окончания выполнения работ – в течение 30 (тридцать) календарных дней с даты начала выполнения работ по </w:t>
            </w:r>
            <w:bookmarkStart w:id="0" w:name="_GoBack"/>
            <w:bookmarkEnd w:id="0"/>
            <w:r w:rsidRPr="00D85E14">
              <w:t>ДОГОВОРУ.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1.9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Адрес проектируемого объекта</w:t>
            </w:r>
          </w:p>
        </w:tc>
        <w:tc>
          <w:tcPr>
            <w:tcW w:w="5528" w:type="dxa"/>
          </w:tcPr>
          <w:p w:rsidR="007756C2" w:rsidRPr="0044687B" w:rsidRDefault="007756C2" w:rsidP="006F3AE4">
            <w:pPr>
              <w:pStyle w:val="af4"/>
            </w:pPr>
            <w:r w:rsidRPr="0044687B">
              <w:t>Российская Федерация, г. Москва, 1-й Дорожный проезд,</w:t>
            </w:r>
            <w:r>
              <w:t xml:space="preserve"> </w:t>
            </w:r>
            <w:r w:rsidRPr="0044687B">
              <w:t>д</w:t>
            </w:r>
            <w:r>
              <w:t>.</w:t>
            </w:r>
            <w:r w:rsidRPr="0044687B">
              <w:t>8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1.10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Тип и этажность новых, реконструируемых и реставрируемых зданий и сооружений, наименование повторно применяемых, индивидуальных или типовых проектов</w:t>
            </w:r>
          </w:p>
        </w:tc>
        <w:tc>
          <w:tcPr>
            <w:tcW w:w="5528" w:type="dxa"/>
          </w:tcPr>
          <w:p w:rsidR="007756C2" w:rsidRPr="0044687B" w:rsidRDefault="007756C2" w:rsidP="006F3AE4">
            <w:r w:rsidRPr="0044687B">
              <w:t>Одноэтажный н</w:t>
            </w:r>
            <w:r w:rsidR="001A5B3F">
              <w:t xml:space="preserve">авес над двором с </w:t>
            </w:r>
            <w:proofErr w:type="spellStart"/>
            <w:r w:rsidR="001A5B3F">
              <w:t>опиранием</w:t>
            </w:r>
            <w:proofErr w:type="spellEnd"/>
            <w:r w:rsidR="001A5B3F">
              <w:t xml:space="preserve"> на </w:t>
            </w:r>
            <w:proofErr w:type="gramStart"/>
            <w:r w:rsidR="001A5B3F">
              <w:t xml:space="preserve">балочно-стоечные </w:t>
            </w:r>
            <w:r w:rsidRPr="0044687B">
              <w:t>конструкции</w:t>
            </w:r>
            <w:proofErr w:type="gramEnd"/>
            <w:r w:rsidRPr="0044687B">
              <w:t xml:space="preserve"> стоящие на собственных проектируемых столбчатых фундаментах.</w:t>
            </w:r>
          </w:p>
          <w:p w:rsidR="007756C2" w:rsidRPr="0044687B" w:rsidRDefault="007756C2" w:rsidP="006F3AE4">
            <w:r w:rsidRPr="0044687B">
              <w:t xml:space="preserve">Индивидуальный проект </w:t>
            </w:r>
          </w:p>
          <w:p w:rsidR="007756C2" w:rsidRPr="0044687B" w:rsidRDefault="007756C2" w:rsidP="006F3AE4"/>
        </w:tc>
      </w:tr>
      <w:tr w:rsidR="007756C2" w:rsidRPr="0044687B" w:rsidTr="007756C2">
        <w:tc>
          <w:tcPr>
            <w:tcW w:w="10064" w:type="dxa"/>
            <w:gridSpan w:val="3"/>
          </w:tcPr>
          <w:p w:rsidR="007756C2" w:rsidRPr="0044687B" w:rsidRDefault="007756C2" w:rsidP="006F3AE4">
            <w:pPr>
              <w:jc w:val="center"/>
              <w:rPr>
                <w:b/>
              </w:rPr>
            </w:pPr>
            <w:r w:rsidRPr="0044687B">
              <w:rPr>
                <w:b/>
              </w:rPr>
              <w:t>2 Основные требования к проектным решениям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2.1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Градостроительные решения, генеральный план, благоустройство, озеленение, обеспеченность автостоянками.</w:t>
            </w:r>
          </w:p>
        </w:tc>
        <w:tc>
          <w:tcPr>
            <w:tcW w:w="5528" w:type="dxa"/>
          </w:tcPr>
          <w:p w:rsidR="007756C2" w:rsidRPr="0044687B" w:rsidRDefault="007756C2" w:rsidP="006F3AE4">
            <w:r w:rsidRPr="0044687B">
              <w:t xml:space="preserve">Исполняется план участка с нанесением </w:t>
            </w:r>
          </w:p>
          <w:p w:rsidR="007756C2" w:rsidRPr="0044687B" w:rsidRDefault="007756C2" w:rsidP="006F3AE4">
            <w:r w:rsidRPr="0044687B">
              <w:t xml:space="preserve">на чертеж существующих зданий и сооружений, временных и других построек, инженерных сетей и элементов инженерной инфраструктуры. 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2.2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Состав разрабатываемой проектно-сметной документации</w:t>
            </w:r>
          </w:p>
        </w:tc>
        <w:tc>
          <w:tcPr>
            <w:tcW w:w="5528" w:type="dxa"/>
          </w:tcPr>
          <w:p w:rsidR="007756C2" w:rsidRPr="0044687B" w:rsidRDefault="007756C2" w:rsidP="006F3AE4">
            <w:r w:rsidRPr="0044687B">
              <w:t>Состав и содержание рабочей документации должны отвечать требования ГОСТ Р 21.1101-2013.</w:t>
            </w:r>
          </w:p>
          <w:p w:rsidR="007756C2" w:rsidRPr="0044687B" w:rsidRDefault="001A5B3F" w:rsidP="006F3AE4">
            <w:r>
              <w:t>Предусмотреть проведение</w:t>
            </w:r>
            <w:r w:rsidR="007756C2" w:rsidRPr="0044687B">
              <w:t>:</w:t>
            </w:r>
          </w:p>
          <w:p w:rsidR="007756C2" w:rsidRPr="0044687B" w:rsidRDefault="007756C2" w:rsidP="006F3AE4">
            <w:r w:rsidRPr="0044687B">
              <w:t>- Технического</w:t>
            </w:r>
            <w:r w:rsidR="001A5B3F">
              <w:t xml:space="preserve"> обследования и обмерных работ </w:t>
            </w:r>
            <w:r w:rsidRPr="0044687B">
              <w:t>по примыкающим фасадам;</w:t>
            </w:r>
          </w:p>
          <w:p w:rsidR="007756C2" w:rsidRPr="0044687B" w:rsidRDefault="007756C2" w:rsidP="006F3AE4">
            <w:r w:rsidRPr="0044687B">
              <w:t xml:space="preserve"> -инженерно- геологические изыскания под фундаменты</w:t>
            </w:r>
          </w:p>
          <w:p w:rsidR="007756C2" w:rsidRPr="0044687B" w:rsidRDefault="007756C2" w:rsidP="006F3AE4">
            <w:r w:rsidRPr="0044687B">
              <w:lastRenderedPageBreak/>
              <w:t>инженерно-геодезических и инженерно-экологический изысканий.</w:t>
            </w:r>
          </w:p>
          <w:p w:rsidR="007756C2" w:rsidRPr="0044687B" w:rsidRDefault="007756C2" w:rsidP="006F3AE4">
            <w:r w:rsidRPr="0044687B">
              <w:t>Состав и содержание отчетов о результатах инженерных изысканиях должны отвечать требованиям ГОСТ Р 21-1101-2013 и СНИП 11-02-96.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lastRenderedPageBreak/>
              <w:t xml:space="preserve">2.3 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Архитектурно-планировочные решения</w:t>
            </w:r>
          </w:p>
        </w:tc>
        <w:tc>
          <w:tcPr>
            <w:tcW w:w="5528" w:type="dxa"/>
          </w:tcPr>
          <w:p w:rsidR="007756C2" w:rsidRPr="0044687B" w:rsidRDefault="007756C2" w:rsidP="006F3AE4">
            <w:pPr>
              <w:ind w:right="34" w:firstLine="318"/>
            </w:pPr>
            <w:r w:rsidRPr="0044687B">
              <w:t>Спроектировать закрытое (неотапливаемое) помещение на площадке внутреннего двора между корпусами А и Б. Высота помещения до низа выступающих строительных конструкций не менее 6 м в месте укрупн</w:t>
            </w:r>
            <w:r w:rsidR="001A5B3F">
              <w:t xml:space="preserve">ительной сборки. Предусмотреть </w:t>
            </w:r>
            <w:r w:rsidRPr="0044687B">
              <w:t xml:space="preserve">окна для освещения на крыше (либо </w:t>
            </w:r>
            <w:proofErr w:type="spellStart"/>
            <w:r w:rsidRPr="0044687B">
              <w:t>светопрозрачное</w:t>
            </w:r>
            <w:proofErr w:type="spellEnd"/>
            <w:r w:rsidRPr="0044687B">
              <w:t xml:space="preserve"> покрытие)</w:t>
            </w:r>
          </w:p>
          <w:p w:rsidR="007756C2" w:rsidRPr="0044687B" w:rsidRDefault="001A5B3F" w:rsidP="006F3AE4">
            <w:pPr>
              <w:ind w:right="34" w:firstLine="318"/>
            </w:pPr>
            <w:r>
              <w:t>По осям Г/6-12 и 6 /</w:t>
            </w:r>
            <w:proofErr w:type="gramStart"/>
            <w:r>
              <w:t>Г-К</w:t>
            </w:r>
            <w:proofErr w:type="gramEnd"/>
            <w:r>
              <w:t xml:space="preserve"> </w:t>
            </w:r>
            <w:r w:rsidR="007756C2" w:rsidRPr="0044687B">
              <w:t>навес не должен закрывать окна 2-го этажа</w:t>
            </w:r>
          </w:p>
          <w:p w:rsidR="007756C2" w:rsidRPr="0044687B" w:rsidRDefault="007756C2" w:rsidP="006F3AE4">
            <w:pPr>
              <w:ind w:right="34" w:firstLine="318"/>
            </w:pPr>
            <w:r w:rsidRPr="0044687B">
              <w:t>Полы в помещении выполнить в соответствии с требованиями, обусловленными работами, проводимыми в помещениях.</w:t>
            </w:r>
          </w:p>
          <w:p w:rsidR="007756C2" w:rsidRPr="0044687B" w:rsidRDefault="007756C2" w:rsidP="006F3AE4">
            <w:r w:rsidRPr="0044687B">
              <w:t>Предусмотреть подходы и подъезды к участкам, обеспечивающие удобство ввоза и вывоза оборудования, деталей и готовой продукции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2.4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Предварительные технико-экономические показатели</w:t>
            </w:r>
          </w:p>
        </w:tc>
        <w:tc>
          <w:tcPr>
            <w:tcW w:w="5528" w:type="dxa"/>
          </w:tcPr>
          <w:p w:rsidR="007756C2" w:rsidRPr="0044687B" w:rsidRDefault="001A5B3F" w:rsidP="006F3AE4">
            <w:r>
              <w:t>Площадь перекрываемая (</w:t>
            </w:r>
            <w:r w:rsidR="007756C2" w:rsidRPr="0044687B">
              <w:t xml:space="preserve">18.0х30.0 м) до 324 </w:t>
            </w:r>
            <w:proofErr w:type="spellStart"/>
            <w:r w:rsidR="007756C2" w:rsidRPr="0044687B">
              <w:t>кв.м</w:t>
            </w:r>
            <w:proofErr w:type="spellEnd"/>
          </w:p>
          <w:p w:rsidR="007756C2" w:rsidRPr="0044687B" w:rsidRDefault="007756C2" w:rsidP="006F3AE4">
            <w:r w:rsidRPr="0044687B">
              <w:t>Строительный объём</w:t>
            </w:r>
            <w:r w:rsidR="001A5B3F">
              <w:t xml:space="preserve"> (</w:t>
            </w:r>
            <w:r w:rsidRPr="0044687B">
              <w:rPr>
                <w:lang w:val="en-US"/>
              </w:rPr>
              <w:t>H</w:t>
            </w:r>
            <w:r w:rsidRPr="0044687B">
              <w:t xml:space="preserve">=6.0 м) до 3 240 </w:t>
            </w:r>
            <w:proofErr w:type="spellStart"/>
            <w:r w:rsidRPr="0044687B">
              <w:t>куб.м</w:t>
            </w:r>
            <w:proofErr w:type="spellEnd"/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2.5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Основные требования к архитектурно-планировочному решению здания, наружной и внутренней отделке</w:t>
            </w:r>
          </w:p>
        </w:tc>
        <w:tc>
          <w:tcPr>
            <w:tcW w:w="5528" w:type="dxa"/>
          </w:tcPr>
          <w:p w:rsidR="007756C2" w:rsidRPr="0044687B" w:rsidRDefault="007756C2" w:rsidP="006F3AE4">
            <w:r w:rsidRPr="0044687B">
              <w:t xml:space="preserve"> По технологическому заданию Заказчика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2.6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Конструктивные решения, изделия и материалы несущих и ограждающих конструкций (фундаменты, несущие и ограждающие конструкции, перекрытия лестницы, перегородки, кровля)</w:t>
            </w:r>
          </w:p>
        </w:tc>
        <w:tc>
          <w:tcPr>
            <w:tcW w:w="5528" w:type="dxa"/>
          </w:tcPr>
          <w:p w:rsidR="007756C2" w:rsidRPr="0044687B" w:rsidRDefault="007756C2" w:rsidP="006F3AE4">
            <w:r w:rsidRPr="0044687B">
              <w:t>Конструктивная схема –</w:t>
            </w:r>
          </w:p>
          <w:p w:rsidR="007756C2" w:rsidRPr="0044687B" w:rsidRDefault="001A5B3F" w:rsidP="006F3AE4">
            <w:r>
              <w:t xml:space="preserve">балочно-стоечный каркас </w:t>
            </w:r>
            <w:r w:rsidR="007756C2" w:rsidRPr="0044687B">
              <w:t>стоящий на собственных проектируемых столбчатых ж\бетонных фундаментах.</w:t>
            </w:r>
          </w:p>
          <w:p w:rsidR="007756C2" w:rsidRPr="0044687B" w:rsidRDefault="007756C2" w:rsidP="006F3AE4">
            <w:r w:rsidRPr="0044687B">
              <w:t>Учесть снеговую нагрузку для данного района и конфигурацию зданий вокруг навеса. Предусмотреть полезную нагрузку на покрытие от обслуживающего персонала (не менее 2-х рабочих) при очистке кровли от снега и грязи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2.7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Технологические решения оборудования (отечественного или импортного), организация труда (прогрессивность решений основных и вспомогательных производств)</w:t>
            </w:r>
          </w:p>
        </w:tc>
        <w:tc>
          <w:tcPr>
            <w:tcW w:w="5528" w:type="dxa"/>
          </w:tcPr>
          <w:p w:rsidR="007756C2" w:rsidRPr="0044687B" w:rsidRDefault="007756C2" w:rsidP="006F3AE4"/>
          <w:p w:rsidR="007756C2" w:rsidRPr="0044687B" w:rsidRDefault="007756C2" w:rsidP="006F3AE4">
            <w:r w:rsidRPr="0044687B">
              <w:t>По технологическому заданию Заказчика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2.8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Охрана окружающей среды</w:t>
            </w:r>
          </w:p>
        </w:tc>
        <w:tc>
          <w:tcPr>
            <w:tcW w:w="5528" w:type="dxa"/>
          </w:tcPr>
          <w:p w:rsidR="007756C2" w:rsidRPr="0044687B" w:rsidRDefault="007756C2" w:rsidP="006F3AE4">
            <w:pPr>
              <w:jc w:val="both"/>
            </w:pPr>
            <w:r w:rsidRPr="0044687B">
              <w:t>Не требуется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2.9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Энергосберегающие мероприятия</w:t>
            </w:r>
          </w:p>
        </w:tc>
        <w:tc>
          <w:tcPr>
            <w:tcW w:w="5528" w:type="dxa"/>
          </w:tcPr>
          <w:p w:rsidR="007756C2" w:rsidRPr="0044687B" w:rsidRDefault="007756C2" w:rsidP="006F3AE4">
            <w:r w:rsidRPr="0044687B">
              <w:t>Не требуется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2.10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Основные требования и указания по инженерному обеспечению:</w:t>
            </w:r>
          </w:p>
          <w:p w:rsidR="007756C2" w:rsidRPr="0044687B" w:rsidRDefault="007756C2" w:rsidP="006F3AE4">
            <w:r w:rsidRPr="0044687B">
              <w:t>канализация дождевая</w:t>
            </w:r>
          </w:p>
          <w:p w:rsidR="007756C2" w:rsidRPr="0044687B" w:rsidRDefault="007756C2" w:rsidP="006F3AE4">
            <w:r w:rsidRPr="0044687B">
              <w:t>-наружное освещение.</w:t>
            </w:r>
          </w:p>
          <w:p w:rsidR="007756C2" w:rsidRPr="0044687B" w:rsidRDefault="007756C2" w:rsidP="006F3AE4"/>
        </w:tc>
        <w:tc>
          <w:tcPr>
            <w:tcW w:w="5528" w:type="dxa"/>
          </w:tcPr>
          <w:p w:rsidR="007756C2" w:rsidRPr="0044687B" w:rsidRDefault="007756C2" w:rsidP="006F3AE4">
            <w:r w:rsidRPr="0044687B">
              <w:t xml:space="preserve"> Разработать в соответствии с технологическим заданием Заказчика в соответствии с нормативными документами и техническими условиями на подключение.</w:t>
            </w:r>
          </w:p>
          <w:p w:rsidR="007756C2" w:rsidRPr="0044687B" w:rsidRDefault="007756C2" w:rsidP="006F3AE4"/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2.11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Условия по обеспечению жизнедеятельности маломобильных групп населения</w:t>
            </w:r>
          </w:p>
        </w:tc>
        <w:tc>
          <w:tcPr>
            <w:tcW w:w="5528" w:type="dxa"/>
          </w:tcPr>
          <w:p w:rsidR="007756C2" w:rsidRPr="0044687B" w:rsidRDefault="007756C2" w:rsidP="006F3AE4">
            <w:r w:rsidRPr="0044687B">
              <w:t>Не требуется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lastRenderedPageBreak/>
              <w:t>2.12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Мероприятия по обеспечению пожарной безопасности</w:t>
            </w:r>
          </w:p>
        </w:tc>
        <w:tc>
          <w:tcPr>
            <w:tcW w:w="5528" w:type="dxa"/>
          </w:tcPr>
          <w:p w:rsidR="007756C2" w:rsidRPr="0044687B" w:rsidRDefault="007756C2" w:rsidP="006F3AE4">
            <w:r w:rsidRPr="0044687B">
              <w:t xml:space="preserve"> Разработать раздел «Мероприятия по обеспечению пожарной б</w:t>
            </w:r>
            <w:r w:rsidR="001A5B3F">
              <w:t xml:space="preserve">езопасности» в соответствии </w:t>
            </w:r>
            <w:r w:rsidRPr="0044687B">
              <w:t>СП 118.13330.2012г. «Общественные здания и сооружения»; Технический регламент о требованиях пожарной безопа</w:t>
            </w:r>
            <w:r w:rsidR="001A5B3F">
              <w:t>сности», № 123-ФЗ от 22.07.08г.</w:t>
            </w:r>
            <w:r w:rsidRPr="0044687B">
              <w:t>; Свод правил СП 2.13130.2012 «Системы противопожарной защиты. Эвакуационные пути и выходы»</w:t>
            </w:r>
          </w:p>
        </w:tc>
      </w:tr>
      <w:tr w:rsidR="007756C2" w:rsidRPr="0044687B" w:rsidTr="007756C2">
        <w:tc>
          <w:tcPr>
            <w:tcW w:w="10064" w:type="dxa"/>
            <w:gridSpan w:val="3"/>
          </w:tcPr>
          <w:p w:rsidR="007756C2" w:rsidRPr="00703ACF" w:rsidRDefault="007756C2" w:rsidP="007756C2">
            <w:pPr>
              <w:pStyle w:val="af3"/>
              <w:numPr>
                <w:ilvl w:val="0"/>
                <w:numId w:val="18"/>
              </w:numPr>
              <w:jc w:val="center"/>
              <w:rPr>
                <w:b/>
              </w:rPr>
            </w:pPr>
            <w:r w:rsidRPr="00703ACF">
              <w:rPr>
                <w:b/>
              </w:rPr>
              <w:t>Дополнительные требования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3.1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Требования по соблюдению технических регламентов</w:t>
            </w:r>
          </w:p>
        </w:tc>
        <w:tc>
          <w:tcPr>
            <w:tcW w:w="5528" w:type="dxa"/>
          </w:tcPr>
          <w:p w:rsidR="007756C2" w:rsidRPr="0044687B" w:rsidRDefault="007756C2" w:rsidP="006F3AE4">
            <w:r w:rsidRPr="0044687B">
              <w:t xml:space="preserve"> Проектными решениями обеспечить соблюдение требо</w:t>
            </w:r>
            <w:r w:rsidR="001A5B3F">
              <w:t>ваний № 123- ФЗ от 22.07.08 г «</w:t>
            </w:r>
            <w:r w:rsidRPr="0044687B">
              <w:t>Технический регламент о требованиях пожарной безопасности»,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3.2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Необходимость выполнения инженерных изысканий</w:t>
            </w:r>
          </w:p>
          <w:p w:rsidR="007756C2" w:rsidRPr="0044687B" w:rsidRDefault="007756C2" w:rsidP="006F3AE4"/>
          <w:p w:rsidR="007756C2" w:rsidRPr="0044687B" w:rsidRDefault="007756C2" w:rsidP="006F3AE4">
            <w:r w:rsidRPr="0044687B">
              <w:t xml:space="preserve">                </w:t>
            </w:r>
          </w:p>
        </w:tc>
        <w:tc>
          <w:tcPr>
            <w:tcW w:w="5528" w:type="dxa"/>
          </w:tcPr>
          <w:p w:rsidR="007756C2" w:rsidRPr="0044687B" w:rsidRDefault="007756C2" w:rsidP="001A5B3F">
            <w:r w:rsidRPr="0044687B">
              <w:t xml:space="preserve"> Согласно требованиям СП 47.13330.2012 «Инженерные изыскания для строительства. Ос</w:t>
            </w:r>
            <w:r w:rsidR="001A5B3F">
              <w:t>новные положения», СП 11-102-97 «</w:t>
            </w:r>
            <w:r w:rsidRPr="0044687B">
              <w:t>Инженерно-экологические изыскания для строительства», при не</w:t>
            </w:r>
            <w:r w:rsidR="001A5B3F">
              <w:t>обходимости выполнить инженерно-</w:t>
            </w:r>
            <w:r w:rsidRPr="0044687B">
              <w:t>геодезиче</w:t>
            </w:r>
            <w:r w:rsidR="001A5B3F">
              <w:t xml:space="preserve">ские изыскания, </w:t>
            </w:r>
            <w:proofErr w:type="spellStart"/>
            <w:r w:rsidR="001A5B3F">
              <w:t>инженерно</w:t>
            </w:r>
            <w:proofErr w:type="spellEnd"/>
            <w:r w:rsidR="001A5B3F">
              <w:t xml:space="preserve"> </w:t>
            </w:r>
            <w:r w:rsidRPr="0044687B">
              <w:t>геологические изыскания, радиационные и санитарные исследования. Получени</w:t>
            </w:r>
            <w:r w:rsidR="001A5B3F">
              <w:t xml:space="preserve">е исходных данных для раздела </w:t>
            </w:r>
            <w:r w:rsidRPr="0044687B">
              <w:t>«Охрана окружающей среды»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3.3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Количество экземпляров выдаваемой проектной документации</w:t>
            </w:r>
          </w:p>
        </w:tc>
        <w:tc>
          <w:tcPr>
            <w:tcW w:w="5528" w:type="dxa"/>
          </w:tcPr>
          <w:p w:rsidR="007756C2" w:rsidRPr="0044687B" w:rsidRDefault="007756C2" w:rsidP="006F3AE4">
            <w:r w:rsidRPr="0044687B">
              <w:t>Проектно-сметную документацию передать</w:t>
            </w:r>
            <w:r w:rsidR="001A5B3F">
              <w:t xml:space="preserve"> Заказчику в 4-х экземплярах</w:t>
            </w:r>
            <w:r w:rsidRPr="0044687B">
              <w:t xml:space="preserve">. Один экземпляр Рабочей предоставить на электронном носителе в форматах </w:t>
            </w:r>
            <w:proofErr w:type="spellStart"/>
            <w:r w:rsidRPr="0044687B">
              <w:rPr>
                <w:lang w:val="en-US"/>
              </w:rPr>
              <w:t>dwg</w:t>
            </w:r>
            <w:proofErr w:type="spellEnd"/>
            <w:r w:rsidRPr="0044687B">
              <w:t xml:space="preserve">, </w:t>
            </w:r>
            <w:r w:rsidRPr="0044687B">
              <w:rPr>
                <w:lang w:val="en-US"/>
              </w:rPr>
              <w:t>pdf</w:t>
            </w:r>
            <w:r w:rsidRPr="0044687B">
              <w:t>.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3.4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Разработка проектного предложения</w:t>
            </w:r>
          </w:p>
        </w:tc>
        <w:tc>
          <w:tcPr>
            <w:tcW w:w="5528" w:type="dxa"/>
          </w:tcPr>
          <w:p w:rsidR="007756C2" w:rsidRPr="0044687B" w:rsidRDefault="007756C2" w:rsidP="006F3AE4"/>
        </w:tc>
      </w:tr>
      <w:tr w:rsidR="007756C2" w:rsidRPr="0044687B" w:rsidTr="007756C2">
        <w:tc>
          <w:tcPr>
            <w:tcW w:w="10064" w:type="dxa"/>
            <w:gridSpan w:val="3"/>
          </w:tcPr>
          <w:p w:rsidR="007756C2" w:rsidRPr="0044687B" w:rsidRDefault="007756C2" w:rsidP="006F3AE4">
            <w:pPr>
              <w:jc w:val="center"/>
              <w:rPr>
                <w:b/>
              </w:rPr>
            </w:pPr>
            <w:r w:rsidRPr="0044687B">
              <w:rPr>
                <w:b/>
              </w:rPr>
              <w:t>4. Особые требования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4.1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Порядок согласования и утверждения проектной документации</w:t>
            </w:r>
          </w:p>
        </w:tc>
        <w:tc>
          <w:tcPr>
            <w:tcW w:w="5528" w:type="dxa"/>
          </w:tcPr>
          <w:p w:rsidR="007756C2" w:rsidRPr="0044687B" w:rsidRDefault="007756C2" w:rsidP="006F3AE4">
            <w:r w:rsidRPr="0044687B">
              <w:t xml:space="preserve"> Государственная экспертиза проектной документации не требуется. Согласовывается и утверждается Заказчиком</w:t>
            </w:r>
          </w:p>
        </w:tc>
      </w:tr>
      <w:tr w:rsidR="007756C2" w:rsidRPr="0044687B" w:rsidTr="007756C2">
        <w:tc>
          <w:tcPr>
            <w:tcW w:w="709" w:type="dxa"/>
          </w:tcPr>
          <w:p w:rsidR="007756C2" w:rsidRPr="0044687B" w:rsidRDefault="007756C2" w:rsidP="006F3AE4">
            <w:r w:rsidRPr="0044687B">
              <w:t>4.2</w:t>
            </w:r>
          </w:p>
        </w:tc>
        <w:tc>
          <w:tcPr>
            <w:tcW w:w="3827" w:type="dxa"/>
          </w:tcPr>
          <w:p w:rsidR="007756C2" w:rsidRPr="0044687B" w:rsidRDefault="007756C2" w:rsidP="006F3AE4">
            <w:r w:rsidRPr="0044687B">
              <w:t>Особые условия заказчика</w:t>
            </w:r>
          </w:p>
        </w:tc>
        <w:tc>
          <w:tcPr>
            <w:tcW w:w="5528" w:type="dxa"/>
          </w:tcPr>
          <w:p w:rsidR="007756C2" w:rsidRPr="0044687B" w:rsidRDefault="007756C2" w:rsidP="006F3AE4">
            <w:pPr>
              <w:ind w:firstLine="317"/>
            </w:pPr>
            <w:r w:rsidRPr="0044687B">
              <w:t>Указанные требования являются минимально необходимыми для создания качественной проектной документации и не являются исчерпывающими, они могут уточняться в ходе выполнения проектных работ.</w:t>
            </w:r>
          </w:p>
        </w:tc>
      </w:tr>
    </w:tbl>
    <w:p w:rsidR="007756C2" w:rsidRPr="00A645CB" w:rsidRDefault="007756C2" w:rsidP="007756C2">
      <w:pPr>
        <w:tabs>
          <w:tab w:val="left" w:pos="6180"/>
        </w:tabs>
        <w:rPr>
          <w:sz w:val="28"/>
          <w:szCs w:val="28"/>
        </w:rPr>
      </w:pPr>
    </w:p>
    <w:p w:rsidR="007756C2" w:rsidRDefault="007756C2" w:rsidP="007756C2">
      <w:pPr>
        <w:jc w:val="center"/>
      </w:pPr>
    </w:p>
    <w:p w:rsidR="007756C2" w:rsidRDefault="007756C2" w:rsidP="007756C2"/>
    <w:p w:rsidR="007756C2" w:rsidRDefault="007756C2" w:rsidP="007756C2">
      <w:pPr>
        <w:jc w:val="center"/>
      </w:pPr>
    </w:p>
    <w:p w:rsidR="007756C2" w:rsidRDefault="007756C2" w:rsidP="007756C2">
      <w:pPr>
        <w:jc w:val="center"/>
      </w:pPr>
    </w:p>
    <w:p w:rsidR="007756C2" w:rsidRDefault="007756C2" w:rsidP="007756C2">
      <w:pPr>
        <w:jc w:val="center"/>
      </w:pPr>
    </w:p>
    <w:p w:rsidR="007756C2" w:rsidRDefault="007756C2" w:rsidP="007756C2"/>
    <w:p w:rsidR="007756C2" w:rsidRDefault="007756C2" w:rsidP="007756C2">
      <w:pPr>
        <w:ind w:firstLine="426"/>
        <w:jc w:val="right"/>
        <w:rPr>
          <w:rFonts w:ascii="Proxima Nova ExCn Rg" w:hAnsi="Proxima Nova ExCn Rg"/>
          <w:sz w:val="28"/>
          <w:szCs w:val="28"/>
        </w:rPr>
      </w:pPr>
    </w:p>
    <w:p w:rsidR="00B279B0" w:rsidRPr="007756C2" w:rsidRDefault="00B279B0" w:rsidP="007756C2"/>
    <w:sectPr w:rsidR="00B279B0" w:rsidRPr="007756C2" w:rsidSect="007756C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D2" w:rsidRDefault="001520D2">
      <w:r>
        <w:separator/>
      </w:r>
    </w:p>
  </w:endnote>
  <w:endnote w:type="continuationSeparator" w:id="0">
    <w:p w:rsidR="001520D2" w:rsidRDefault="0015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7" w:rsidRDefault="0097129D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50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50A7" w:rsidRDefault="00FC50A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7" w:rsidRDefault="00FC50A7" w:rsidP="00924224">
    <w:pPr>
      <w:pStyle w:val="ab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D2" w:rsidRDefault="001520D2">
      <w:r>
        <w:separator/>
      </w:r>
    </w:p>
  </w:footnote>
  <w:footnote w:type="continuationSeparator" w:id="0">
    <w:p w:rsidR="001520D2" w:rsidRDefault="0015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7" w:rsidRDefault="0097129D" w:rsidP="00C85C7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50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50A7" w:rsidRDefault="00FC50A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7" w:rsidRDefault="0097129D" w:rsidP="00C85C7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50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5579">
      <w:rPr>
        <w:rStyle w:val="a9"/>
      </w:rPr>
      <w:t>3</w:t>
    </w:r>
    <w:r>
      <w:rPr>
        <w:rStyle w:val="a9"/>
      </w:rPr>
      <w:fldChar w:fldCharType="end"/>
    </w:r>
  </w:p>
  <w:p w:rsidR="00FC50A7" w:rsidRDefault="00FC50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9EDD6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C41BB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A80D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4CAD4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429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C2738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30F5B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906A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3B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/>
        <w:sz w:val="16"/>
        <w:szCs w:val="16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0395034"/>
    <w:multiLevelType w:val="multilevel"/>
    <w:tmpl w:val="653E51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1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148"/>
        </w:tabs>
        <w:ind w:left="1148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5B0773D9"/>
    <w:multiLevelType w:val="hybridMultilevel"/>
    <w:tmpl w:val="C5B67BD8"/>
    <w:lvl w:ilvl="0" w:tplc="FFFFFFFF">
      <w:start w:val="1"/>
      <w:numFmt w:val="bullet"/>
      <w:pStyle w:val="10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6690D4C"/>
    <w:multiLevelType w:val="hybridMultilevel"/>
    <w:tmpl w:val="07DE1E9A"/>
    <w:lvl w:ilvl="0" w:tplc="0419000F">
      <w:start w:val="1"/>
      <w:numFmt w:val="decimal"/>
      <w:pStyle w:val="Normalnumbered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70BC1"/>
    <w:multiLevelType w:val="multilevel"/>
    <w:tmpl w:val="EB605EC0"/>
    <w:lvl w:ilvl="0">
      <w:start w:val="1"/>
      <w:numFmt w:val="decimal"/>
      <w:pStyle w:val="1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D4A4150"/>
    <w:multiLevelType w:val="hybridMultilevel"/>
    <w:tmpl w:val="26E4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8"/>
  </w:num>
  <w:num w:numId="12">
    <w:abstractNumId w:val="12"/>
  </w:num>
  <w:num w:numId="13">
    <w:abstractNumId w:val="11"/>
  </w:num>
  <w:num w:numId="14">
    <w:abstractNumId w:val="17"/>
  </w:num>
  <w:num w:numId="15">
    <w:abstractNumId w:val="13"/>
  </w:num>
  <w:num w:numId="16">
    <w:abstractNumId w:val="16"/>
  </w:num>
  <w:num w:numId="17">
    <w:abstractNumId w:val="15"/>
  </w:num>
  <w:num w:numId="1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F9E"/>
    <w:rsid w:val="0002194D"/>
    <w:rsid w:val="0006039C"/>
    <w:rsid w:val="00071A75"/>
    <w:rsid w:val="00094BF7"/>
    <w:rsid w:val="000B1612"/>
    <w:rsid w:val="000D6D43"/>
    <w:rsid w:val="000E1725"/>
    <w:rsid w:val="000E47D7"/>
    <w:rsid w:val="000E7A88"/>
    <w:rsid w:val="001321AF"/>
    <w:rsid w:val="00137B32"/>
    <w:rsid w:val="001520D2"/>
    <w:rsid w:val="00171C05"/>
    <w:rsid w:val="00175DA2"/>
    <w:rsid w:val="001961E1"/>
    <w:rsid w:val="00197425"/>
    <w:rsid w:val="001A0431"/>
    <w:rsid w:val="001A5B3F"/>
    <w:rsid w:val="001A7B63"/>
    <w:rsid w:val="001C01AA"/>
    <w:rsid w:val="001E2A6D"/>
    <w:rsid w:val="001E462D"/>
    <w:rsid w:val="00205D7B"/>
    <w:rsid w:val="00217951"/>
    <w:rsid w:val="00233F84"/>
    <w:rsid w:val="00235FB6"/>
    <w:rsid w:val="00247B32"/>
    <w:rsid w:val="00261905"/>
    <w:rsid w:val="002839E3"/>
    <w:rsid w:val="00294D26"/>
    <w:rsid w:val="002A6561"/>
    <w:rsid w:val="002C7E37"/>
    <w:rsid w:val="002D7E87"/>
    <w:rsid w:val="002E74D0"/>
    <w:rsid w:val="002F159C"/>
    <w:rsid w:val="002F24C0"/>
    <w:rsid w:val="00317020"/>
    <w:rsid w:val="00346296"/>
    <w:rsid w:val="003501EE"/>
    <w:rsid w:val="003A435F"/>
    <w:rsid w:val="003B722C"/>
    <w:rsid w:val="003C5DF3"/>
    <w:rsid w:val="0042621F"/>
    <w:rsid w:val="0043298D"/>
    <w:rsid w:val="00434065"/>
    <w:rsid w:val="00461160"/>
    <w:rsid w:val="004827F2"/>
    <w:rsid w:val="00496607"/>
    <w:rsid w:val="004B6923"/>
    <w:rsid w:val="004B7B5B"/>
    <w:rsid w:val="004C652F"/>
    <w:rsid w:val="00510FC7"/>
    <w:rsid w:val="00512860"/>
    <w:rsid w:val="00522180"/>
    <w:rsid w:val="005242D7"/>
    <w:rsid w:val="0053220A"/>
    <w:rsid w:val="00573C33"/>
    <w:rsid w:val="00597FF7"/>
    <w:rsid w:val="005A1B29"/>
    <w:rsid w:val="005A4A75"/>
    <w:rsid w:val="005C339A"/>
    <w:rsid w:val="005E1146"/>
    <w:rsid w:val="005F1FE3"/>
    <w:rsid w:val="00646DE5"/>
    <w:rsid w:val="00647238"/>
    <w:rsid w:val="00664BBC"/>
    <w:rsid w:val="00675497"/>
    <w:rsid w:val="00676172"/>
    <w:rsid w:val="006948D0"/>
    <w:rsid w:val="00721D2C"/>
    <w:rsid w:val="007402AC"/>
    <w:rsid w:val="0074451B"/>
    <w:rsid w:val="007637E7"/>
    <w:rsid w:val="007678B8"/>
    <w:rsid w:val="007756C2"/>
    <w:rsid w:val="00793209"/>
    <w:rsid w:val="007B610C"/>
    <w:rsid w:val="007C0C10"/>
    <w:rsid w:val="007C5254"/>
    <w:rsid w:val="007D09AD"/>
    <w:rsid w:val="007D5D93"/>
    <w:rsid w:val="0083620A"/>
    <w:rsid w:val="00850D6A"/>
    <w:rsid w:val="00867013"/>
    <w:rsid w:val="008929E0"/>
    <w:rsid w:val="008A4C8A"/>
    <w:rsid w:val="008C1488"/>
    <w:rsid w:val="008E0D75"/>
    <w:rsid w:val="008F061D"/>
    <w:rsid w:val="008F44B6"/>
    <w:rsid w:val="009130DB"/>
    <w:rsid w:val="00924224"/>
    <w:rsid w:val="0092759B"/>
    <w:rsid w:val="00931B6F"/>
    <w:rsid w:val="00944196"/>
    <w:rsid w:val="00951FD6"/>
    <w:rsid w:val="0096659A"/>
    <w:rsid w:val="00970BF2"/>
    <w:rsid w:val="0097129D"/>
    <w:rsid w:val="00974AAB"/>
    <w:rsid w:val="00976B17"/>
    <w:rsid w:val="009866B4"/>
    <w:rsid w:val="009932C4"/>
    <w:rsid w:val="009A4C52"/>
    <w:rsid w:val="009C7DA0"/>
    <w:rsid w:val="009D6CFA"/>
    <w:rsid w:val="00A0158C"/>
    <w:rsid w:val="00A0333E"/>
    <w:rsid w:val="00A22ACD"/>
    <w:rsid w:val="00A2748F"/>
    <w:rsid w:val="00A376F5"/>
    <w:rsid w:val="00A45326"/>
    <w:rsid w:val="00A82347"/>
    <w:rsid w:val="00AA1462"/>
    <w:rsid w:val="00AB18E3"/>
    <w:rsid w:val="00AC46F3"/>
    <w:rsid w:val="00AF46B5"/>
    <w:rsid w:val="00B07875"/>
    <w:rsid w:val="00B279B0"/>
    <w:rsid w:val="00B31487"/>
    <w:rsid w:val="00B61EBB"/>
    <w:rsid w:val="00B7695B"/>
    <w:rsid w:val="00B83983"/>
    <w:rsid w:val="00BA1C5F"/>
    <w:rsid w:val="00BA4C80"/>
    <w:rsid w:val="00BA5579"/>
    <w:rsid w:val="00BA60D9"/>
    <w:rsid w:val="00BD2271"/>
    <w:rsid w:val="00C16979"/>
    <w:rsid w:val="00C26B19"/>
    <w:rsid w:val="00C53EA6"/>
    <w:rsid w:val="00C72194"/>
    <w:rsid w:val="00C85C76"/>
    <w:rsid w:val="00C93F2F"/>
    <w:rsid w:val="00CE5555"/>
    <w:rsid w:val="00D0519D"/>
    <w:rsid w:val="00D11C2D"/>
    <w:rsid w:val="00D22F0E"/>
    <w:rsid w:val="00D250B5"/>
    <w:rsid w:val="00D33421"/>
    <w:rsid w:val="00D45ECF"/>
    <w:rsid w:val="00D52368"/>
    <w:rsid w:val="00D63F81"/>
    <w:rsid w:val="00D671CB"/>
    <w:rsid w:val="00D84EF8"/>
    <w:rsid w:val="00D867C1"/>
    <w:rsid w:val="00D870E7"/>
    <w:rsid w:val="00DA530E"/>
    <w:rsid w:val="00DC2D5D"/>
    <w:rsid w:val="00DD3EA0"/>
    <w:rsid w:val="00DD4317"/>
    <w:rsid w:val="00E34647"/>
    <w:rsid w:val="00E77FE2"/>
    <w:rsid w:val="00EA1EDC"/>
    <w:rsid w:val="00EB6B74"/>
    <w:rsid w:val="00EC64E5"/>
    <w:rsid w:val="00ED6B59"/>
    <w:rsid w:val="00ED7749"/>
    <w:rsid w:val="00EF0128"/>
    <w:rsid w:val="00EF45A5"/>
    <w:rsid w:val="00F04720"/>
    <w:rsid w:val="00F10ED8"/>
    <w:rsid w:val="00F30C51"/>
    <w:rsid w:val="00F31931"/>
    <w:rsid w:val="00F46F9E"/>
    <w:rsid w:val="00F508F8"/>
    <w:rsid w:val="00F71F42"/>
    <w:rsid w:val="00FC50A7"/>
    <w:rsid w:val="00FC5600"/>
    <w:rsid w:val="00FE001D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8CCB6-0CE9-4F7B-8DD5-D4A9D31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63F81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4"/>
    <w:next w:val="a4"/>
    <w:qFormat/>
    <w:rsid w:val="00D63F81"/>
    <w:pPr>
      <w:keepNext/>
      <w:numPr>
        <w:numId w:val="1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aliases w:val="H2"/>
    <w:basedOn w:val="a4"/>
    <w:next w:val="a4"/>
    <w:qFormat/>
    <w:rsid w:val="00D63F81"/>
    <w:pPr>
      <w:keepNext/>
      <w:numPr>
        <w:ilvl w:val="1"/>
        <w:numId w:val="10"/>
      </w:numPr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4"/>
    <w:next w:val="a4"/>
    <w:qFormat/>
    <w:rsid w:val="00D63F81"/>
    <w:pPr>
      <w:keepNext/>
      <w:numPr>
        <w:ilvl w:val="2"/>
        <w:numId w:val="10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4"/>
    <w:next w:val="a4"/>
    <w:qFormat/>
    <w:rsid w:val="00D63F81"/>
    <w:pPr>
      <w:keepNext/>
      <w:numPr>
        <w:ilvl w:val="3"/>
        <w:numId w:val="1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4"/>
    <w:next w:val="a4"/>
    <w:qFormat/>
    <w:rsid w:val="00D63F81"/>
    <w:pPr>
      <w:numPr>
        <w:ilvl w:val="5"/>
        <w:numId w:val="1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qFormat/>
    <w:rsid w:val="00D63F81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D63F81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qFormat/>
    <w:rsid w:val="00D63F81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1">
    <w:name w:val="Body Text Indent"/>
    <w:basedOn w:val="a4"/>
    <w:rsid w:val="00D63F81"/>
    <w:pPr>
      <w:numPr>
        <w:ilvl w:val="1"/>
        <w:numId w:val="13"/>
      </w:numPr>
      <w:spacing w:after="60"/>
      <w:jc w:val="both"/>
    </w:pPr>
    <w:rPr>
      <w:szCs w:val="20"/>
    </w:rPr>
  </w:style>
  <w:style w:type="paragraph" w:styleId="20">
    <w:name w:val="List Bullet 2"/>
    <w:basedOn w:val="a4"/>
    <w:autoRedefine/>
    <w:rsid w:val="00D63F81"/>
    <w:pPr>
      <w:numPr>
        <w:numId w:val="1"/>
      </w:numPr>
      <w:spacing w:after="60"/>
      <w:jc w:val="both"/>
    </w:pPr>
    <w:rPr>
      <w:szCs w:val="20"/>
    </w:rPr>
  </w:style>
  <w:style w:type="paragraph" w:styleId="30">
    <w:name w:val="List Bullet 3"/>
    <w:basedOn w:val="a4"/>
    <w:autoRedefine/>
    <w:rsid w:val="00D63F81"/>
    <w:pPr>
      <w:numPr>
        <w:numId w:val="2"/>
      </w:numPr>
      <w:spacing w:after="60"/>
      <w:jc w:val="both"/>
    </w:pPr>
    <w:rPr>
      <w:szCs w:val="20"/>
    </w:rPr>
  </w:style>
  <w:style w:type="paragraph" w:styleId="40">
    <w:name w:val="List Bullet 4"/>
    <w:basedOn w:val="a4"/>
    <w:autoRedefine/>
    <w:rsid w:val="00D63F81"/>
    <w:pPr>
      <w:numPr>
        <w:numId w:val="3"/>
      </w:numPr>
      <w:spacing w:after="60"/>
      <w:jc w:val="both"/>
    </w:pPr>
    <w:rPr>
      <w:szCs w:val="20"/>
    </w:rPr>
  </w:style>
  <w:style w:type="paragraph" w:styleId="50">
    <w:name w:val="List Bullet 5"/>
    <w:basedOn w:val="a4"/>
    <w:autoRedefine/>
    <w:rsid w:val="00D63F81"/>
    <w:pPr>
      <w:numPr>
        <w:numId w:val="4"/>
      </w:numPr>
      <w:spacing w:after="60"/>
      <w:jc w:val="both"/>
    </w:pPr>
    <w:rPr>
      <w:szCs w:val="20"/>
    </w:rPr>
  </w:style>
  <w:style w:type="paragraph" w:styleId="a">
    <w:name w:val="List Number"/>
    <w:basedOn w:val="a4"/>
    <w:rsid w:val="00D63F81"/>
    <w:pPr>
      <w:numPr>
        <w:numId w:val="5"/>
      </w:numPr>
      <w:spacing w:after="60"/>
      <w:jc w:val="both"/>
    </w:pPr>
    <w:rPr>
      <w:szCs w:val="20"/>
    </w:rPr>
  </w:style>
  <w:style w:type="paragraph" w:styleId="2">
    <w:name w:val="List Number 2"/>
    <w:basedOn w:val="a4"/>
    <w:rsid w:val="00D63F81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4"/>
    <w:rsid w:val="00D63F81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4"/>
    <w:rsid w:val="00D63F81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4"/>
    <w:rsid w:val="00D63F81"/>
    <w:pPr>
      <w:numPr>
        <w:numId w:val="9"/>
      </w:numPr>
      <w:spacing w:after="60"/>
      <w:jc w:val="both"/>
    </w:pPr>
    <w:rPr>
      <w:szCs w:val="20"/>
    </w:rPr>
  </w:style>
  <w:style w:type="paragraph" w:customStyle="1" w:styleId="a3">
    <w:name w:val="Раздел"/>
    <w:basedOn w:val="a4"/>
    <w:semiHidden/>
    <w:rsid w:val="00D63F81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4"/>
    <w:semiHidden/>
    <w:rsid w:val="00D63F81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4"/>
    <w:semiHidden/>
    <w:rsid w:val="00D63F81"/>
    <w:pPr>
      <w:numPr>
        <w:numId w:val="13"/>
      </w:numPr>
      <w:spacing w:before="240" w:after="120"/>
      <w:jc w:val="both"/>
    </w:pPr>
    <w:rPr>
      <w:b/>
      <w:szCs w:val="20"/>
    </w:rPr>
  </w:style>
  <w:style w:type="paragraph" w:customStyle="1" w:styleId="11">
    <w:name w:val="Стиль1"/>
    <w:basedOn w:val="a4"/>
    <w:rsid w:val="00D63F81"/>
    <w:pPr>
      <w:keepNext/>
      <w:keepLines/>
      <w:widowControl w:val="0"/>
      <w:numPr>
        <w:numId w:val="14"/>
      </w:numPr>
      <w:suppressLineNumbers/>
      <w:suppressAutoHyphens/>
      <w:spacing w:after="60"/>
    </w:pPr>
    <w:rPr>
      <w:b/>
      <w:sz w:val="28"/>
    </w:rPr>
  </w:style>
  <w:style w:type="paragraph" w:customStyle="1" w:styleId="22">
    <w:name w:val="Стиль2"/>
    <w:basedOn w:val="2"/>
    <w:rsid w:val="00D63F81"/>
    <w:pPr>
      <w:keepNext/>
      <w:keepLines/>
      <w:widowControl w:val="0"/>
      <w:numPr>
        <w:ilvl w:val="1"/>
        <w:numId w:val="14"/>
      </w:numPr>
      <w:suppressLineNumbers/>
      <w:tabs>
        <w:tab w:val="clear" w:pos="1836"/>
        <w:tab w:val="num" w:pos="567"/>
        <w:tab w:val="num" w:pos="1492"/>
      </w:tabs>
      <w:suppressAutoHyphens/>
      <w:ind w:left="567" w:hanging="567"/>
    </w:pPr>
    <w:rPr>
      <w:b/>
    </w:rPr>
  </w:style>
  <w:style w:type="paragraph" w:customStyle="1" w:styleId="33">
    <w:name w:val="Стиль3"/>
    <w:basedOn w:val="23"/>
    <w:rsid w:val="00D63F81"/>
    <w:pPr>
      <w:widowControl w:val="0"/>
      <w:numPr>
        <w:ilvl w:val="2"/>
        <w:numId w:val="14"/>
      </w:numPr>
      <w:adjustRightInd w:val="0"/>
      <w:spacing w:after="0" w:line="240" w:lineRule="auto"/>
      <w:textAlignment w:val="baseline"/>
    </w:pPr>
  </w:style>
  <w:style w:type="paragraph" w:styleId="23">
    <w:name w:val="Body Text Indent 2"/>
    <w:aliases w:val="Знак"/>
    <w:basedOn w:val="a4"/>
    <w:rsid w:val="00D63F81"/>
    <w:pPr>
      <w:spacing w:after="120" w:line="480" w:lineRule="auto"/>
      <w:ind w:left="283"/>
      <w:jc w:val="both"/>
    </w:pPr>
    <w:rPr>
      <w:szCs w:val="20"/>
    </w:rPr>
  </w:style>
  <w:style w:type="paragraph" w:customStyle="1" w:styleId="a2">
    <w:name w:val="пункт"/>
    <w:basedOn w:val="a4"/>
    <w:rsid w:val="00D63F81"/>
    <w:pPr>
      <w:numPr>
        <w:ilvl w:val="2"/>
        <w:numId w:val="15"/>
      </w:numPr>
      <w:spacing w:before="60" w:after="60"/>
    </w:pPr>
  </w:style>
  <w:style w:type="paragraph" w:customStyle="1" w:styleId="Normalnumbered">
    <w:name w:val="Normal numbered"/>
    <w:basedOn w:val="a4"/>
    <w:rsid w:val="00D63F81"/>
    <w:pPr>
      <w:numPr>
        <w:numId w:val="16"/>
      </w:numPr>
      <w:spacing w:before="20" w:after="20" w:line="380" w:lineRule="exact"/>
    </w:pPr>
    <w:rPr>
      <w:sz w:val="22"/>
      <w:szCs w:val="20"/>
    </w:rPr>
  </w:style>
  <w:style w:type="paragraph" w:customStyle="1" w:styleId="10">
    <w:name w:val="Перечень 1"/>
    <w:basedOn w:val="a4"/>
    <w:rsid w:val="00D63F81"/>
    <w:pPr>
      <w:widowControl w:val="0"/>
      <w:numPr>
        <w:numId w:val="17"/>
      </w:numPr>
      <w:suppressAutoHyphens/>
      <w:jc w:val="both"/>
    </w:pPr>
    <w:rPr>
      <w:snapToGrid w:val="0"/>
    </w:rPr>
  </w:style>
  <w:style w:type="character" w:customStyle="1" w:styleId="12">
    <w:name w:val="Заголовок 1 Знак"/>
    <w:aliases w:val="Document Header1 Знак"/>
    <w:basedOn w:val="a5"/>
    <w:rsid w:val="00D63F81"/>
    <w:rPr>
      <w:rFonts w:cs="Times New Roman"/>
      <w:b/>
      <w:kern w:val="28"/>
      <w:sz w:val="36"/>
      <w:lang w:val="ru-RU" w:eastAsia="ru-RU" w:bidi="ar-SA"/>
    </w:rPr>
  </w:style>
  <w:style w:type="paragraph" w:customStyle="1" w:styleId="ConsNormal">
    <w:name w:val="ConsNormal"/>
    <w:semiHidden/>
    <w:rsid w:val="00D63F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Таблица шапка"/>
    <w:basedOn w:val="a4"/>
    <w:rsid w:val="00D63F81"/>
    <w:pPr>
      <w:keepNext/>
      <w:spacing w:before="40" w:after="40"/>
      <w:ind w:left="57" w:right="57"/>
    </w:pPr>
    <w:rPr>
      <w:sz w:val="18"/>
      <w:szCs w:val="18"/>
    </w:rPr>
  </w:style>
  <w:style w:type="character" w:styleId="a9">
    <w:name w:val="page number"/>
    <w:basedOn w:val="a5"/>
    <w:rsid w:val="00D63F81"/>
    <w:rPr>
      <w:rFonts w:ascii="Times New Roman" w:hAnsi="Times New Roman" w:cs="Times New Roman"/>
    </w:rPr>
  </w:style>
  <w:style w:type="paragraph" w:styleId="aa">
    <w:name w:val="header"/>
    <w:basedOn w:val="a4"/>
    <w:rsid w:val="00D63F81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b">
    <w:name w:val="footer"/>
    <w:basedOn w:val="a4"/>
    <w:rsid w:val="00D63F81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table" w:styleId="ac">
    <w:name w:val="Table Grid"/>
    <w:basedOn w:val="a6"/>
    <w:rsid w:val="00FE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4"/>
    <w:rsid w:val="00B279B0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B279B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FontStyle11">
    <w:name w:val="Font Style11"/>
    <w:basedOn w:val="a5"/>
    <w:rsid w:val="00B279B0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4"/>
    <w:uiPriority w:val="99"/>
    <w:unhideWhenUsed/>
    <w:rsid w:val="0053220A"/>
    <w:pPr>
      <w:spacing w:before="100" w:beforeAutospacing="1" w:after="100" w:afterAutospacing="1"/>
    </w:pPr>
  </w:style>
  <w:style w:type="character" w:styleId="af">
    <w:name w:val="Emphasis"/>
    <w:basedOn w:val="a5"/>
    <w:uiPriority w:val="20"/>
    <w:qFormat/>
    <w:rsid w:val="0053220A"/>
    <w:rPr>
      <w:i/>
      <w:iCs/>
    </w:rPr>
  </w:style>
  <w:style w:type="character" w:styleId="af0">
    <w:name w:val="Strong"/>
    <w:basedOn w:val="a5"/>
    <w:uiPriority w:val="22"/>
    <w:qFormat/>
    <w:rsid w:val="0053220A"/>
    <w:rPr>
      <w:b/>
      <w:bCs/>
    </w:rPr>
  </w:style>
  <w:style w:type="paragraph" w:styleId="af1">
    <w:name w:val="Balloon Text"/>
    <w:basedOn w:val="a4"/>
    <w:link w:val="af2"/>
    <w:rsid w:val="00EB6B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rsid w:val="00EB6B74"/>
    <w:rPr>
      <w:rFonts w:ascii="Tahoma" w:hAnsi="Tahoma" w:cs="Tahoma"/>
      <w:sz w:val="16"/>
      <w:szCs w:val="16"/>
    </w:rPr>
  </w:style>
  <w:style w:type="paragraph" w:styleId="af3">
    <w:name w:val="List Paragraph"/>
    <w:basedOn w:val="a4"/>
    <w:uiPriority w:val="34"/>
    <w:qFormat/>
    <w:rsid w:val="0074451B"/>
    <w:pPr>
      <w:ind w:left="720"/>
      <w:contextualSpacing/>
    </w:pPr>
  </w:style>
  <w:style w:type="paragraph" w:styleId="af4">
    <w:name w:val="Body Text"/>
    <w:basedOn w:val="a4"/>
    <w:link w:val="af5"/>
    <w:unhideWhenUsed/>
    <w:rsid w:val="007756C2"/>
    <w:pPr>
      <w:spacing w:after="120"/>
    </w:pPr>
  </w:style>
  <w:style w:type="character" w:customStyle="1" w:styleId="af5">
    <w:name w:val="Основной текст Знак"/>
    <w:basedOn w:val="a5"/>
    <w:link w:val="af4"/>
    <w:rsid w:val="007756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Вигстар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Tishkov</dc:creator>
  <cp:lastModifiedBy>Кристина Кебурия</cp:lastModifiedBy>
  <cp:revision>10</cp:revision>
  <cp:lastPrinted>2016-08-18T07:39:00Z</cp:lastPrinted>
  <dcterms:created xsi:type="dcterms:W3CDTF">2016-06-14T13:07:00Z</dcterms:created>
  <dcterms:modified xsi:type="dcterms:W3CDTF">2016-08-18T07:40:00Z</dcterms:modified>
</cp:coreProperties>
</file>